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156" w:beforeAutospacing="0" w:after="0" w:afterAutospacing="0" w:line="640" w:lineRule="atLeast"/>
        <w:ind w:firstLine="180"/>
        <w:jc w:val="center"/>
        <w:rPr>
          <w:rFonts w:ascii="Times New Roman" w:hAnsi="Times New Roman" w:cs="Times New Roman"/>
          <w:color w:val="000000"/>
          <w:sz w:val="21"/>
          <w:szCs w:val="21"/>
        </w:rPr>
      </w:pPr>
      <w:r>
        <w:rPr>
          <w:rFonts w:hint="eastAsia" w:ascii="黑体" w:hAnsi="黑体" w:eastAsia="黑体" w:cs="Times New Roman"/>
          <w:color w:val="000000"/>
          <w:sz w:val="36"/>
          <w:szCs w:val="36"/>
        </w:rPr>
        <w:t>中国银监会关于银行业风险防控工作的指导意见</w:t>
      </w:r>
    </w:p>
    <w:p>
      <w:pPr>
        <w:pStyle w:val="4"/>
        <w:shd w:val="clear" w:color="auto" w:fill="FFFFFF"/>
        <w:spacing w:before="156" w:beforeAutospacing="0" w:after="0" w:afterAutospacing="0" w:line="640" w:lineRule="atLeast"/>
        <w:jc w:val="center"/>
        <w:rPr>
          <w:rFonts w:ascii="Times New Roman" w:hAnsi="Times New Roman" w:cs="Times New Roman"/>
          <w:color w:val="000000"/>
          <w:sz w:val="21"/>
          <w:szCs w:val="21"/>
        </w:rPr>
      </w:pPr>
      <w:r>
        <w:rPr>
          <w:rFonts w:hint="eastAsia" w:cs="Times New Roman"/>
          <w:color w:val="000000"/>
          <w:sz w:val="30"/>
          <w:szCs w:val="30"/>
        </w:rPr>
        <w:t>银监发〔2017〕6号</w:t>
      </w:r>
    </w:p>
    <w:p>
      <w:pPr>
        <w:pStyle w:val="4"/>
        <w:shd w:val="clear" w:color="auto" w:fill="FFFFFF"/>
        <w:spacing w:before="156" w:beforeAutospacing="0" w:after="0" w:afterAutospacing="0" w:line="640" w:lineRule="atLeast"/>
        <w:jc w:val="both"/>
        <w:rPr>
          <w:rFonts w:ascii="Times New Roman" w:hAnsi="Times New Roman" w:cs="Times New Roman"/>
          <w:color w:val="000000"/>
          <w:sz w:val="21"/>
          <w:szCs w:val="21"/>
        </w:rPr>
      </w:pPr>
      <w:r>
        <w:rPr>
          <w:rFonts w:hint="eastAsia" w:cs="Times New Roman"/>
          <w:color w:val="000000"/>
          <w:sz w:val="30"/>
          <w:szCs w:val="30"/>
        </w:rPr>
        <w:t> </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各银监局，机关各部门，各政策性银行、大型银行、股份制银行，邮储银行，外资银行，金融资产管理公司，其他会管金融机构：</w:t>
      </w:r>
      <w:bookmarkStart w:id="0" w:name="_GoBack"/>
      <w:bookmarkEnd w:id="0"/>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为贯彻落实中央经济工作会议“把防控金融风险放到更加重要的位置”总体要求，银行业应坚持底线思维、分类施策、稳妥推进、标本兼治，切实防范化解突出风险，严守不发生系统性风险底线。现就银行业风险防控工作提出以下指导意见。</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一、加强信用风险管控，维护资产质量总体稳定</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一）摸清风险底数。银行业金融机构要严格落实信贷及类信贷资产的分类标准和操作流程，真实、准确和动态地反映资产风险状况；建立健全信用风险预警体系，密切监测分析重点领域信用风险的生成和迁徙变化情况，定期开展信用风险压力测试。各级监管机构要重点关注逾期90天以上贷款与不良贷款比例超过100%、关注类贷款占比较高或增长较快、类信贷及表外资产增长过快的银行业金融机构，重点治理资产风险分类不准确、通过各种手段隐匿或转移不良贷款的行为。</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严控增量风险。银行业金融机构要加强统一授信、统一管理，严格不同层级的审批权限；加强授信风险审查，有效甄别高风险客户，防范多头授信、过度授信、给“僵尸企业”授信、给“空壳企业”授信、财务欺诈等风险。各级监管机构要重点治理放松授信条件、放松风险管理、贷款“三查”不到位等问题，对辖内银行业金融机构新发生的大额不良贷款暴露，要及时进行跟踪调查。</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处置存量风险。银行业金融机构要综合运用重组、转让、追偿、核销等手段加快处置存量不良资产，通过追加担保、债务重组、资产置换等措施缓释潜在风险；通过解包还原、置换担保、救助核心企业、联合授信管理等方式，妥善化解担保圈风险；利用债权人委员会机制，按照“一企一策”原则制定风险处置计划；加强债权维护，切实遏制逃废债行为。</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四）提升风险缓释能力。银行业金融机构要加强资产质量迁徙趋势分析，增加利润留存，及时足额计提资产减值准备，增强风险缓释能力。各级监管机构要对银行业金融机构采取风险缓释措施有效性进行跟踪评估，对风险抵补能力不足的机构，应督促其限期整改；要引导银行业金融机构通过上市融资、增资扩股、发行新型资本工具等措施，提高损失吸收能力。</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二、完善流动性风险治理体系，提升流动性风险管控能力</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五）加强风险监测。银行业金融机构要完善流动性风险治理架构，将同业业务、投资业务、托管业务、理财业务等纳入流动性风险监测范围，制定合理的流动性限额和管理方案；提高对重点分支机构、币种和业务领域的关注强度，采取有效措施降低对同业存单等同业融资的依赖度。</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六）加强重点机构管控。各级监管机构要锁定资金来源与运用明显错配、批发性融资占比高的银行业金融机构，实行“一对一”贴身盯防。督促同业存单增速较快、同业存单占同业负债比例较高的银行，合理控制同业存单等同业融资规模。</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（七）创新风险防控手段。探索试点城商行、农商行流动性互助机制，发挥好信托业保障基金作用，构筑中小银行业金融机构流动性安全网。</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八）提升应急管理能力。银行业金融机构要加强负债稳定性管理，确保负债总量适度、来源稳定、结构多元、期限匹配；完善流动性风险应对预案，定期开展流动性风险压力测试；加强向央行的报告沟通，运用“临时流动性便利”等工具，满足流动性需求。</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三、加强债券投资业务管理，密切关注债券市场波动</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九）健全债券交易内控制度。银行业金融机构要建立贯穿债券交易各环节、覆盖全流程的内控体系，加强债券交易的合规性审查和风险控制。坚持“穿透管理”和“实质重于形式”的原则，将债券投资纳入统一授信。</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强化业务集中管理。银行业金融机构应将直接债券投资以及通过特殊目的载体（SPV）、表外理财等方式开展的债券投资纳入统一监测范围，全面掌握资金真实投向和底层债券资产的基本信息、风险状况、交易变动等情况，实现准入集中、数据集中和退出集中管理。</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一）严格控制投资杠杆。银行业金融机构要审慎开展委外投资业务，严格委外机构审查和名单管理，明确委外投资限额、单一受托人受托资产比例等要求，规范开展债券回购和质押融资，严格控制交易杠杆比率，不得违规放大投资杠杆。</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二）加强风险监测防控。银行业金融机构要严格债券信用评级准入标准，做好债券投资久期管理。高度关注债券集中到期的企业、出现债券违约的企业，防控债券违约风险向信贷业务传导。各级监管机构要督促风险管理能力薄弱、债券投资占比高的银行合理控制持债余额。</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四、整治同业业务，加强交叉金融业务管控</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三）控制业务增量。银行业金融机构要完善同业业务内部管理架构，确保业务复杂程度与风险管理能力相匹配，审慎开展交叉金融业务。同业业务应由银行业金融机构总部统一管理、集中审批。制定统一的合作机构名单、产品投资目录，严禁与不在名单范围内的机构开展合作，严禁开展投资目录之外的业务。</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四）做实穿透管理。银行业金融机构要建立交叉金融业务监测台账，准确掌握业务规模、业务品种、基础资产性质、风险状况、资本和拨备等相关信息。新开展的同业投资业务不得进行多层嵌套，要根据基础资产性质，准确计量风险，足额计提资本和拨备。</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（十五）消化存量风险。银行业金融机构应全面排查存量同业业务，对多层架构、复杂程度高的业务要制定整改计划。对风险高的同业投资业务，要制定应对策略和退出时间表。</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（十六）严查违规行为。各级监管机构要重点检查同业业务多层嵌套、特定目的载体投资未严格穿透至基础资产、未将最终债务人纳入统一授信和集中度风险管控、资本拨备计提不足等问题。</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五、规范银行理财和代销业务，加强金融消费者保护</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七）加强银行理财业务风险管控。银行业金融机构应当确保每只理财产品与所投资资产相对应，做到单独管理、单独建账、单独核算；不得开展滚动发售、混合运作、期限错配、分离定价的资金池理财业务；确保自营业务与代客业务相分离；不得在理财产品之间、理财产品客户之间或理财产品客户与其他主体之间进行利益输送。</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八）规范银行理财产品设计。银行业金融机构应当按照“简单、透明、可控”的原则设计和运作理财产品，在资金来源、运用、杠杆率、流动性、信息披露等方面严格遵守监管要求；严控嵌套投资，强化穿透管理，切实履行自身投资管理职责，不得简单将理财业务作为各类资管产品的资金募集通道；严格控制杠杆，防范资金在金融体系内自我循环，不得使用自有资金购买本行发行的理财产品。</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九）加强金融消费者保护。银行业金融机构应当按照风险匹配原则，严格区分公募与私募、批发与零售、自营与代客等不同产品类型，充分披露产品信息和揭示风险，将投资者分层管理落到实处。只有面向高资产净值、私人银行和机构客户发行的银行理财产品，可投资于境内二级市场股票、未上市企业股权等权益类资产。理财产品宣传及销售人员产品营销推介时，应真实、全面介绍产品的性质和特征，明确告知是本机构产品还是其他机构产品、是保本产品还是非保本产品、是有固定收益的产品还是没有固定收益的产品。不得误导客户购买与其风险承受能力不相匹配的理财产品，严格落实“双录”要求，做到“卖者尽责”基础上的“买者自负”，切实保护投资者合法权益。</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审慎开展代销业务。银行业金融机构应当对代销业务实施严格谨慎管理。根据自身风险管理能力、合作机构风险评估情况、代销产品风险等级，合理确定代销业务品种和限额；银行业金融机构总部应对代销业务实行集中统一管理，对合作机构实行名单制管理，对拟代销产品应开展尽职调查，不得仅依据合作机构的产品审批资料作为产品审批依据；银行业金融机构应明示代销产品的代销属性，不得将代销产品与存款或自身发行的理财产品混淆销售。</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六、坚持分类调控、因城施策，防范房地产领域风险</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一）分类实施房地产信贷调控。认真落实中央经济工作会议精神，明确住房居住属性。坚持分类调控、因城施策，严厉打击“首付贷”等行为，切实抑制热点城市房地产泡沫，建立促进房地产健康发展的长效机制。</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二）强化房地产风险管控。银行业金融机构要建立全口径房地产风险监测机制。将房地产企业贷款、个人按揭贷款、以房地产为抵押的贷款、房地产企业债券，以及其他形式的房地产融资纳入监测范围，定期开展房地产压力测试。加强房地产业务合规性管理，严禁资金违规流入房地产领域。各级监管机构要重点关注房地产融资占比高、贷款质量波动大的银行业金融机构，以及房地产信托业务增量较大、占比较高的信托公司。</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（二十三）加强房地产押品管理。银行业金融机构要完善押品准入管理机制，建立健全房地产押品动态监测机制，及时发布内部预警信息，采取有效应对措施。</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七、加强地方政府债务风险管控，切实防范地方政府债务风险</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四）严格落实《预算法》。银行业金融机构要认真落实《预算法》和《国务院关于加强地方政府性债务管理的意见》（国发〔2014〕43号）要求，不得违规新增地方政府融资平台贷款，严禁接受地方政府担保兜底。</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（二十五）规范新型业务模式。银行业金融机构要依法合规开展专项建设基金、政府与社会资本合作、政府购买服务等新型业务模式，明确各方权利义务关系，不得通过各种方式异化形成违规政府性债务。</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六）强化融资平台风险管控。各级监管机构要会同有关部门强化地方政府债务全口径监测，指导银行业金融机构配合推进融资平台转型，明晰债权债务关系，防范债权悬空风险。银行业金融机构要紧盯列入预警范围的潜在高风险地区，推动制定中长期债务风险化解规划，有效应对局部风险。</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八、稳妥推进互联网金融风险治理，促进合规稳健发展</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七）持续推进网络借贷平台（P2P）风险专项整治。严格执行《网络借贷信息中介机构业务活动管理暂行办法》和备案登记、资金存管等配套制度，按照专项整治工作实施方案要求，稳妥推进分类处置工作，督促网络借贷信息中介机构加强整改，适时采取关、停、并、转等措施。</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八）重点做好校园网贷的清理整顿工作。网络借贷信息中介机构不得将不具备还款能力的借款人纳入营销范围，禁止向未满18岁的在校大学生提供网贷服务，不得进行虚假欺诈宣传和销售，不得通过各种方式变相发放高利贷。</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二十九）做好“现金贷”业务活动的清理整顿工作。网络借贷信息中介机构应依法合规开展业务，确保出借人资金来源合法，禁止欺诈、虚假宣传。严格执行最高人民法院关于民间借贷利率的有关规定，不得违法高利放贷及暴力催收。</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九、加强外部冲击风险监测，防止民间金融风险向银行业传递</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防范跨境业务风险。银行业金融机构要严格遵守外汇管理相关政策，加强跨境资金流动监测预警。提高跨境并表风险管理能力，加快健全环境与社会风险管理体系，确保国别风险准备金计提充足。加强境外合规管理，及时排查反洗钱和重点领域合规风险。提高银行及其客户科学分析外汇收支、币种结构、汇率波动走势和规律的能力，避免简单跟风变动可能带来的风险和损失。</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一）防范社会金融风险。各级监管机构应配合地方金融监管部门规范融资担保和小贷公司行业。落实国务院清理整顿各类交易场所要求，督促银行业金融机构开展专项排查，不得为违规交易所提供开户、托管、资金划转、代理买卖、支付清算、投资咨询等服务。</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二）严处非法集资风险。各级监管机构要加大对未经批准设立银行业金融机构的查处力度，严肃查处非法使用“银行”名称、违法吸收公众存款、违法发放贷款的行为。银行业金融机构严禁为非法集资提供任何金融服务，严禁内部员工违规参与各类集资活动，积极协助相关部门加强账户、信息监测，及时发现和报告异常交易，劝阻客户受骗参与非法集资。</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十、维护银行业经营稳定，防止出现重大案件和群体事件</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三）加强案件风险防控。银行业金融机构要加强员工管理，有效防范内外勾结、利益输送等案件；加强重点环节管理，对授权卡、业务印章、空白凭证等物品管理全流程控制有效性进行评估；落实票据业务相关规定，规范业务操作，严禁与非法票据中介等机构开展业务合作；加大案件查处问责力度，切实做到发现一起、处理一起，做到“一案三问”“上追两级”，遏制案件多发频发态势；强化安全管理，加强安全防范设施建设，及时消除各类安全隐患。</w:t>
      </w:r>
    </w:p>
    <w:p>
      <w:pPr>
        <w:pStyle w:val="5"/>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四）加强信息科技风险防控。银行业金融机构要全面强化网络信息安全管理，提高身份认证机制安全性；加大对新兴电子渠道风险的管理力度，完善灾备体系，制定完善应对预案；完善外包管理体系，降低外包风险，不得将信息科技管理责任外包。对发生严重信息科技风险事件的银行业金融机构，各级监管机构要及时采取必要的强制性监管措施。</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三十五）加强预期管理。银行业金融机构要主动发声，强化主动服务意识和沟通意识，提高信息披露频率和透明度。正确引导各方预期，提升各界对银行业的信心。积极研判社会舆情走势，重点关注可能导致声誉风险的各类隐患，提前准备应对预案，提升应对能力。</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各级监管机构、各银行业金融机构要稳妥有序开展风险防控工作，把握好节奏平衡，防止在化解风险过程中产生新的风险。各银行业金融机构要履行风险防控主体责任，实行“一把手”负责制，制定可行性、针对性强的实施方案，细化责任分工，层层压实责任，把责任落实到具体的机构、部门和人员，对于重大违规和案件风险，要一查到底，对相关机构、违规人员和领导人员严格问责。各级监管机构要做到守土有责，及时开展工作督查，对自查整改不到位、存在违法违规问题的机构，要严肃问责。</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各法人银行业金融机构应分别于2017年7月20日和2018年1月20日前，向监管机构报告本机构上半年和全年相关工作进展。各银监局应分别于2017年7月31日和2018年1月31日前，向银监会报告上半年和全年辖内银行业风险防控及督查工作情况。</w:t>
      </w:r>
    </w:p>
    <w:p>
      <w:pPr>
        <w:pStyle w:val="4"/>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                       </w:t>
      </w:r>
    </w:p>
    <w:p>
      <w:pPr>
        <w:pStyle w:val="4"/>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640" w:firstLineChars="200"/>
        <w:jc w:val="right"/>
        <w:textAlignment w:val="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2017年4月7日  </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6371"/>
    <w:rsid w:val="00566371"/>
    <w:rsid w:val="009940AD"/>
    <w:rsid w:val="00A44825"/>
    <w:rsid w:val="00FC0C16"/>
    <w:rsid w:val="40C80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0" w:firstLineChars="5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p0"/>
    <w:basedOn w:val="1"/>
    <w:uiPriority w:val="0"/>
    <w:pPr>
      <w:widowControl/>
      <w:spacing w:before="100" w:beforeAutospacing="1" w:after="100" w:afterAutospacing="1"/>
      <w:ind w:firstLine="0" w:firstLineChars="0"/>
      <w:jc w:val="left"/>
    </w:pPr>
    <w:rPr>
      <w:rFonts w:ascii="宋体" w:hAnsi="宋体" w:eastAsia="宋体" w:cs="宋体"/>
      <w:kern w:val="0"/>
      <w:sz w:val="24"/>
      <w:szCs w:val="24"/>
    </w:rPr>
  </w:style>
  <w:style w:type="paragraph" w:customStyle="1" w:styleId="5">
    <w:name w:val="p19"/>
    <w:basedOn w:val="1"/>
    <w:uiPriority w:val="0"/>
    <w:pPr>
      <w:widowControl/>
      <w:spacing w:before="100" w:beforeAutospacing="1" w:after="100" w:afterAutospacing="1"/>
      <w:ind w:firstLine="0" w:firstLineChars="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835</Words>
  <Characters>4764</Characters>
  <Lines>39</Lines>
  <Paragraphs>11</Paragraphs>
  <TotalTime>1</TotalTime>
  <ScaleCrop>false</ScaleCrop>
  <LinksUpToDate>false</LinksUpToDate>
  <CharactersWithSpaces>5588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2020-08-24T05:43:00Z</dcterms:created>
  <dc:creator>微软用户</dc:creator>
  <cp:lastModifiedBy>Administrator</cp:lastModifiedBy>
  <dcterms:modified xsi:type="dcterms:W3CDTF">2020-08-25T03:57:58Z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